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46" w:rsidRPr="009B7F8D" w:rsidRDefault="00FE5F46" w:rsidP="00FE5F46">
      <w:pPr>
        <w:spacing w:after="120" w:line="240" w:lineRule="auto"/>
        <w:jc w:val="center"/>
        <w:rPr>
          <w:rFonts w:eastAsiaTheme="minorEastAsia"/>
          <w:b/>
          <w:bCs/>
          <w:sz w:val="32"/>
          <w:szCs w:val="32"/>
        </w:rPr>
      </w:pPr>
      <w:r>
        <w:rPr>
          <w:rFonts w:eastAsiaTheme="minorEastAsia"/>
          <w:b/>
          <w:bCs/>
          <w:sz w:val="32"/>
          <w:szCs w:val="32"/>
          <w:u w:val="single"/>
        </w:rPr>
        <w:t>Return-to-Research</w:t>
      </w:r>
      <w:r w:rsidRPr="433001AA">
        <w:rPr>
          <w:rFonts w:eastAsiaTheme="minorEastAsia"/>
          <w:b/>
          <w:bCs/>
          <w:sz w:val="32"/>
          <w:szCs w:val="32"/>
          <w:u w:val="single"/>
        </w:rPr>
        <w:t xml:space="preserve"> Checklist</w:t>
      </w:r>
      <w:r w:rsidRPr="433001AA">
        <w:rPr>
          <w:rFonts w:eastAsiaTheme="minorEastAsia"/>
          <w:b/>
          <w:bCs/>
          <w:sz w:val="32"/>
          <w:szCs w:val="32"/>
        </w:rPr>
        <w:t xml:space="preserve"> </w:t>
      </w:r>
      <w:r>
        <w:rPr>
          <w:rFonts w:eastAsiaTheme="minorEastAsia"/>
          <w:b/>
          <w:bCs/>
          <w:sz w:val="24"/>
          <w:szCs w:val="24"/>
        </w:rPr>
        <w:t>–</w:t>
      </w:r>
      <w:r w:rsidRPr="433001AA">
        <w:rPr>
          <w:rFonts w:eastAsiaTheme="minorEastAsia"/>
          <w:b/>
          <w:bCs/>
          <w:sz w:val="24"/>
          <w:szCs w:val="24"/>
        </w:rPr>
        <w:t xml:space="preserve"> </w:t>
      </w:r>
      <w:r>
        <w:rPr>
          <w:rFonts w:eastAsiaTheme="minorEastAsia"/>
          <w:b/>
          <w:bCs/>
          <w:sz w:val="24"/>
          <w:szCs w:val="24"/>
        </w:rPr>
        <w:t>Summer, 2021</w:t>
      </w:r>
    </w:p>
    <w:p w:rsidR="00FE5F46" w:rsidRDefault="00FE5F46" w:rsidP="00FE5F46">
      <w:pPr>
        <w:spacing w:line="257" w:lineRule="auto"/>
        <w:jc w:val="center"/>
        <w:rPr>
          <w:rFonts w:ascii="Calibri" w:eastAsia="Calibri" w:hAnsi="Calibri" w:cs="Calibri"/>
        </w:rPr>
      </w:pPr>
      <w:r w:rsidRPr="4E941BAA">
        <w:rPr>
          <w:rFonts w:ascii="Calibri" w:eastAsia="Calibri" w:hAnsi="Calibri" w:cs="Calibri"/>
        </w:rPr>
        <w:t xml:space="preserve">EH&amp;S has prepared </w:t>
      </w:r>
      <w:r>
        <w:rPr>
          <w:rFonts w:ascii="Calibri" w:eastAsia="Calibri" w:hAnsi="Calibri" w:cs="Calibri"/>
        </w:rPr>
        <w:t>the following</w:t>
      </w:r>
      <w:r w:rsidRPr="4E941BAA">
        <w:rPr>
          <w:rFonts w:ascii="Calibri" w:eastAsia="Calibri" w:hAnsi="Calibri" w:cs="Calibri"/>
        </w:rPr>
        <w:t xml:space="preserve"> </w:t>
      </w:r>
      <w:r>
        <w:rPr>
          <w:rFonts w:ascii="Calibri" w:eastAsia="Calibri" w:hAnsi="Calibri" w:cs="Calibri"/>
        </w:rPr>
        <w:t>Return-to-Research</w:t>
      </w:r>
      <w:r w:rsidRPr="4E941BAA">
        <w:rPr>
          <w:rFonts w:ascii="Calibri" w:eastAsia="Calibri" w:hAnsi="Calibri" w:cs="Calibri"/>
        </w:rPr>
        <w:t xml:space="preserve"> Checklist for use by </w:t>
      </w:r>
      <w:r>
        <w:rPr>
          <w:rFonts w:ascii="Calibri" w:eastAsia="Calibri" w:hAnsi="Calibri" w:cs="Calibri"/>
        </w:rPr>
        <w:t xml:space="preserve">personnel returning to </w:t>
      </w:r>
      <w:r w:rsidR="00AF1FEB">
        <w:rPr>
          <w:rFonts w:ascii="Calibri" w:eastAsia="Calibri" w:hAnsi="Calibri" w:cs="Calibri"/>
        </w:rPr>
        <w:t xml:space="preserve">active </w:t>
      </w:r>
      <w:r w:rsidRPr="4E941BAA">
        <w:rPr>
          <w:rFonts w:ascii="Calibri" w:eastAsia="Calibri" w:hAnsi="Calibri" w:cs="Calibri"/>
        </w:rPr>
        <w:t xml:space="preserve">laboratories </w:t>
      </w:r>
      <w:r>
        <w:rPr>
          <w:rFonts w:ascii="Calibri" w:eastAsia="Calibri" w:hAnsi="Calibri" w:cs="Calibri"/>
        </w:rPr>
        <w:t>following an extended absence during the COVID-19 pandemic</w:t>
      </w:r>
      <w:r w:rsidRPr="4E941BAA">
        <w:rPr>
          <w:rFonts w:ascii="Calibri" w:eastAsia="Calibri" w:hAnsi="Calibri" w:cs="Calibri"/>
        </w:rPr>
        <w:t xml:space="preserve">.  </w:t>
      </w:r>
      <w:r>
        <w:rPr>
          <w:rFonts w:ascii="Calibri" w:eastAsia="Calibri" w:hAnsi="Calibri" w:cs="Calibri"/>
        </w:rPr>
        <w:t xml:space="preserve">In addition to the Checklist items below, personnel must ensure that </w:t>
      </w:r>
      <w:hyperlink r:id="rId6" w:anchor="/cu_card_group-1500" w:history="1">
        <w:r w:rsidRPr="00FE5F46">
          <w:rPr>
            <w:rStyle w:val="Hyperlink"/>
            <w:rFonts w:ascii="Calibri" w:eastAsia="Calibri" w:hAnsi="Calibri" w:cs="Calibri"/>
          </w:rPr>
          <w:t>all other University requirements</w:t>
        </w:r>
      </w:hyperlink>
      <w:r>
        <w:rPr>
          <w:rFonts w:ascii="Calibri" w:eastAsia="Calibri" w:hAnsi="Calibri" w:cs="Calibri"/>
        </w:rPr>
        <w:t xml:space="preserve"> are fulfilled prior to or upon return, as applicable.</w:t>
      </w:r>
    </w:p>
    <w:p w:rsidR="00AF1FEB" w:rsidRDefault="00AF1FEB" w:rsidP="00FE5F46">
      <w:pPr>
        <w:spacing w:line="257" w:lineRule="auto"/>
        <w:jc w:val="center"/>
      </w:pPr>
      <w:r>
        <w:rPr>
          <w:rFonts w:ascii="Calibri" w:eastAsia="Calibri" w:hAnsi="Calibri" w:cs="Calibri"/>
        </w:rPr>
        <w:t xml:space="preserve">If returning for the first time to a laboratory that has been entirely ramped down for the duration of the COVID-19 pandemic, please consult the detailed </w:t>
      </w:r>
      <w:hyperlink r:id="rId7" w:history="1">
        <w:r w:rsidRPr="00AF1FEB">
          <w:rPr>
            <w:rStyle w:val="Hyperlink"/>
            <w:rFonts w:ascii="Calibri" w:eastAsia="Calibri" w:hAnsi="Calibri" w:cs="Calibri"/>
          </w:rPr>
          <w:t>“Ramp Up” checklist</w:t>
        </w:r>
      </w:hyperlink>
      <w:r>
        <w:rPr>
          <w:rFonts w:ascii="Calibri" w:eastAsia="Calibri" w:hAnsi="Calibri" w:cs="Calibri"/>
        </w:rPr>
        <w:t xml:space="preserve"> for further details.</w:t>
      </w:r>
    </w:p>
    <w:p w:rsidR="00ED2922" w:rsidRDefault="00ED2922"/>
    <w:tbl>
      <w:tblPr>
        <w:tblStyle w:val="TableGrid"/>
        <w:tblpPr w:leftFromText="180" w:rightFromText="180" w:vertAnchor="text" w:tblpXSpec="center" w:tblpY="1"/>
        <w:tblOverlap w:val="never"/>
        <w:tblW w:w="10885" w:type="dxa"/>
        <w:tblLayout w:type="fixed"/>
        <w:tblLook w:val="06A0" w:firstRow="1" w:lastRow="0" w:firstColumn="1" w:lastColumn="0" w:noHBand="1" w:noVBand="1"/>
      </w:tblPr>
      <w:tblGrid>
        <w:gridCol w:w="4855"/>
        <w:gridCol w:w="1350"/>
        <w:gridCol w:w="720"/>
        <w:gridCol w:w="3960"/>
      </w:tblGrid>
      <w:tr w:rsidR="00FE5F46" w:rsidTr="002B6F09">
        <w:tc>
          <w:tcPr>
            <w:tcW w:w="4855" w:type="dxa"/>
            <w:shd w:val="clear" w:color="auto" w:fill="A6A6A6" w:themeFill="background1" w:themeFillShade="A6"/>
          </w:tcPr>
          <w:p w:rsidR="00FE5F46" w:rsidRPr="00B05826" w:rsidRDefault="00FE5F46" w:rsidP="002B6F09">
            <w:pPr>
              <w:pStyle w:val="ListParagraph"/>
              <w:ind w:left="144"/>
              <w:jc w:val="center"/>
              <w:rPr>
                <w:b/>
                <w:bCs/>
                <w:sz w:val="28"/>
                <w:szCs w:val="28"/>
              </w:rPr>
            </w:pPr>
            <w:bookmarkStart w:id="0" w:name="_Hlk39583414"/>
            <w:r w:rsidRPr="0042D107">
              <w:rPr>
                <w:b/>
                <w:bCs/>
                <w:sz w:val="28"/>
                <w:szCs w:val="28"/>
              </w:rPr>
              <w:t>Item or Task</w:t>
            </w:r>
          </w:p>
        </w:tc>
        <w:tc>
          <w:tcPr>
            <w:tcW w:w="1350" w:type="dxa"/>
            <w:shd w:val="clear" w:color="auto" w:fill="A6A6A6" w:themeFill="background1" w:themeFillShade="A6"/>
          </w:tcPr>
          <w:p w:rsidR="00FE5F46" w:rsidRPr="00B05826" w:rsidRDefault="00FE5F46" w:rsidP="002B6F09">
            <w:pPr>
              <w:jc w:val="center"/>
              <w:rPr>
                <w:b/>
                <w:bCs/>
                <w:sz w:val="28"/>
                <w:szCs w:val="28"/>
              </w:rPr>
            </w:pPr>
            <w:r w:rsidRPr="0042D107">
              <w:rPr>
                <w:b/>
                <w:bCs/>
                <w:sz w:val="28"/>
                <w:szCs w:val="28"/>
              </w:rPr>
              <w:t>Complete</w:t>
            </w:r>
          </w:p>
        </w:tc>
        <w:tc>
          <w:tcPr>
            <w:tcW w:w="720" w:type="dxa"/>
            <w:shd w:val="clear" w:color="auto" w:fill="A6A6A6" w:themeFill="background1" w:themeFillShade="A6"/>
          </w:tcPr>
          <w:p w:rsidR="00FE5F46" w:rsidRPr="00D806AB" w:rsidRDefault="00FE5F46" w:rsidP="002B6F09">
            <w:pPr>
              <w:rPr>
                <w:b/>
                <w:bCs/>
                <w:sz w:val="28"/>
                <w:szCs w:val="28"/>
              </w:rPr>
            </w:pPr>
            <w:r w:rsidRPr="0042D107">
              <w:rPr>
                <w:b/>
                <w:bCs/>
                <w:sz w:val="28"/>
                <w:szCs w:val="28"/>
              </w:rPr>
              <w:t>N/A</w:t>
            </w:r>
          </w:p>
        </w:tc>
        <w:tc>
          <w:tcPr>
            <w:tcW w:w="3960" w:type="dxa"/>
            <w:shd w:val="clear" w:color="auto" w:fill="A6A6A6" w:themeFill="background1" w:themeFillShade="A6"/>
          </w:tcPr>
          <w:p w:rsidR="00FE5F46" w:rsidRPr="00B05826" w:rsidRDefault="00FE5F46" w:rsidP="002B6F09">
            <w:pPr>
              <w:pStyle w:val="ListParagraph"/>
              <w:ind w:left="144"/>
              <w:jc w:val="center"/>
              <w:rPr>
                <w:b/>
                <w:bCs/>
                <w:sz w:val="28"/>
                <w:szCs w:val="28"/>
              </w:rPr>
            </w:pPr>
            <w:r w:rsidRPr="0042D107">
              <w:rPr>
                <w:b/>
                <w:bCs/>
                <w:sz w:val="28"/>
                <w:szCs w:val="28"/>
              </w:rPr>
              <w:t>Notes</w:t>
            </w:r>
          </w:p>
        </w:tc>
      </w:tr>
      <w:tr w:rsidR="00AF1FEB" w:rsidTr="002B6F09">
        <w:tc>
          <w:tcPr>
            <w:tcW w:w="10885" w:type="dxa"/>
            <w:gridSpan w:val="4"/>
            <w:shd w:val="clear" w:color="auto" w:fill="8EAADB" w:themeFill="accent5" w:themeFillTint="99"/>
          </w:tcPr>
          <w:p w:rsidR="00AF1FEB" w:rsidRPr="00817928" w:rsidRDefault="00AF1FEB" w:rsidP="002B6F09">
            <w:pPr>
              <w:jc w:val="center"/>
              <w:rPr>
                <w:rFonts w:cstheme="minorHAnsi"/>
                <w:b/>
                <w:bCs/>
                <w:sz w:val="24"/>
                <w:szCs w:val="24"/>
              </w:rPr>
            </w:pPr>
            <w:r>
              <w:rPr>
                <w:rFonts w:cstheme="minorHAnsi"/>
                <w:b/>
                <w:bCs/>
                <w:sz w:val="24"/>
                <w:szCs w:val="24"/>
              </w:rPr>
              <w:t>Administration</w:t>
            </w:r>
          </w:p>
        </w:tc>
      </w:tr>
      <w:tr w:rsidR="00AF1FEB" w:rsidTr="00AF1FEB">
        <w:tc>
          <w:tcPr>
            <w:tcW w:w="4855" w:type="dxa"/>
            <w:shd w:val="clear" w:color="auto" w:fill="auto"/>
          </w:tcPr>
          <w:p w:rsidR="00AF1FEB" w:rsidRPr="00D043A2" w:rsidRDefault="00AF1FEB" w:rsidP="00DB5D58">
            <w:pPr>
              <w:rPr>
                <w:rFonts w:cstheme="minorHAnsi"/>
                <w:bCs/>
                <w:szCs w:val="24"/>
              </w:rPr>
            </w:pPr>
            <w:r w:rsidRPr="00D043A2">
              <w:rPr>
                <w:rFonts w:cstheme="minorHAnsi"/>
                <w:bCs/>
                <w:szCs w:val="24"/>
              </w:rPr>
              <w:t xml:space="preserve">Consult with Principal Investigator and/or Lab Manager to review any new or enhanced laboratory protocols. </w:t>
            </w:r>
          </w:p>
        </w:tc>
        <w:tc>
          <w:tcPr>
            <w:tcW w:w="1350" w:type="dxa"/>
            <w:shd w:val="clear" w:color="auto" w:fill="auto"/>
          </w:tcPr>
          <w:p w:rsidR="00AF1FEB" w:rsidRPr="00817928" w:rsidRDefault="00AF1FEB" w:rsidP="002B6F09">
            <w:pPr>
              <w:jc w:val="center"/>
              <w:rPr>
                <w:rFonts w:cstheme="minorHAnsi"/>
                <w:b/>
                <w:bCs/>
                <w:sz w:val="24"/>
                <w:szCs w:val="24"/>
              </w:rPr>
            </w:pPr>
          </w:p>
        </w:tc>
        <w:tc>
          <w:tcPr>
            <w:tcW w:w="720" w:type="dxa"/>
            <w:shd w:val="clear" w:color="auto" w:fill="auto"/>
          </w:tcPr>
          <w:p w:rsidR="00AF1FEB" w:rsidRPr="00817928" w:rsidRDefault="00AF1FEB" w:rsidP="002B6F09">
            <w:pPr>
              <w:jc w:val="center"/>
              <w:rPr>
                <w:rFonts w:cstheme="minorHAnsi"/>
                <w:b/>
                <w:bCs/>
                <w:sz w:val="24"/>
                <w:szCs w:val="24"/>
              </w:rPr>
            </w:pPr>
          </w:p>
        </w:tc>
        <w:tc>
          <w:tcPr>
            <w:tcW w:w="3960" w:type="dxa"/>
            <w:shd w:val="clear" w:color="auto" w:fill="auto"/>
          </w:tcPr>
          <w:p w:rsidR="00AF1FEB" w:rsidRPr="00817928" w:rsidRDefault="00AF1FEB" w:rsidP="002B6F09">
            <w:pPr>
              <w:jc w:val="center"/>
              <w:rPr>
                <w:rFonts w:cstheme="minorHAnsi"/>
                <w:b/>
                <w:bCs/>
                <w:sz w:val="24"/>
                <w:szCs w:val="24"/>
              </w:rPr>
            </w:pPr>
          </w:p>
        </w:tc>
      </w:tr>
      <w:tr w:rsidR="00FE5F46" w:rsidTr="002B6F09">
        <w:tc>
          <w:tcPr>
            <w:tcW w:w="10885" w:type="dxa"/>
            <w:gridSpan w:val="4"/>
            <w:shd w:val="clear" w:color="auto" w:fill="8EAADB" w:themeFill="accent5" w:themeFillTint="99"/>
          </w:tcPr>
          <w:p w:rsidR="00FE5F46" w:rsidRPr="00817928" w:rsidRDefault="00FE5F46" w:rsidP="002B6F09">
            <w:pPr>
              <w:jc w:val="center"/>
              <w:rPr>
                <w:sz w:val="24"/>
                <w:szCs w:val="24"/>
              </w:rPr>
            </w:pPr>
            <w:r w:rsidRPr="00817928">
              <w:rPr>
                <w:rFonts w:cstheme="minorHAnsi"/>
                <w:b/>
                <w:bCs/>
                <w:sz w:val="24"/>
                <w:szCs w:val="24"/>
              </w:rPr>
              <w:t>Personal Protective Equipment</w:t>
            </w:r>
          </w:p>
        </w:tc>
      </w:tr>
      <w:tr w:rsidR="00FE5F46" w:rsidTr="002B6F09">
        <w:tc>
          <w:tcPr>
            <w:tcW w:w="4855" w:type="dxa"/>
          </w:tcPr>
          <w:p w:rsidR="00FE5F46" w:rsidRPr="009658F3" w:rsidRDefault="00FE5F46" w:rsidP="00B92F31">
            <w:pPr>
              <w:spacing w:line="259" w:lineRule="auto"/>
              <w:rPr>
                <w:rFonts w:ascii="Calibri" w:eastAsia="Calibri" w:hAnsi="Calibri" w:cs="Calibri"/>
              </w:rPr>
            </w:pPr>
            <w:r w:rsidRPr="25F28D6F">
              <w:t xml:space="preserve">Ensure </w:t>
            </w:r>
            <w:r w:rsidR="00B92F31">
              <w:t xml:space="preserve">lab coats, gloves, protective eyewear and </w:t>
            </w:r>
            <w:r>
              <w:t>face masks</w:t>
            </w:r>
            <w:r w:rsidR="00B92F31">
              <w:t xml:space="preserve"> are available</w:t>
            </w:r>
            <w:r>
              <w:t>, prior to resuming active research.</w:t>
            </w:r>
          </w:p>
        </w:tc>
        <w:tc>
          <w:tcPr>
            <w:tcW w:w="1350" w:type="dxa"/>
          </w:tcPr>
          <w:p w:rsidR="00FE5F46" w:rsidRDefault="00FE5F46" w:rsidP="002B6F09">
            <w:pPr>
              <w:pStyle w:val="ListParagraph"/>
            </w:pPr>
          </w:p>
        </w:tc>
        <w:tc>
          <w:tcPr>
            <w:tcW w:w="720" w:type="dxa"/>
          </w:tcPr>
          <w:p w:rsidR="00FE5F46" w:rsidRDefault="00FE5F46" w:rsidP="002B6F09">
            <w:pPr>
              <w:pStyle w:val="ListParagraph"/>
            </w:pPr>
          </w:p>
        </w:tc>
        <w:tc>
          <w:tcPr>
            <w:tcW w:w="3960" w:type="dxa"/>
          </w:tcPr>
          <w:p w:rsidR="00FE5F46" w:rsidRDefault="00FE5F46" w:rsidP="002B6F09">
            <w:pPr>
              <w:pStyle w:val="ListParagraph"/>
            </w:pPr>
          </w:p>
        </w:tc>
      </w:tr>
      <w:tr w:rsidR="00FE5F46" w:rsidTr="002B6F09">
        <w:tc>
          <w:tcPr>
            <w:tcW w:w="4855" w:type="dxa"/>
          </w:tcPr>
          <w:p w:rsidR="00FE5F46" w:rsidRPr="009658F3" w:rsidRDefault="00FE5F46" w:rsidP="00FE5F46">
            <w:pPr>
              <w:rPr>
                <w:rFonts w:cstheme="minorHAnsi"/>
                <w:color w:val="000000"/>
              </w:rPr>
            </w:pPr>
            <w:r w:rsidRPr="009658F3">
              <w:rPr>
                <w:rFonts w:cstheme="minorHAnsi"/>
                <w:color w:val="000000" w:themeColor="text1"/>
              </w:rPr>
              <w:t>Identify</w:t>
            </w:r>
            <w:r>
              <w:rPr>
                <w:rFonts w:cstheme="minorHAnsi"/>
                <w:color w:val="000000" w:themeColor="text1"/>
              </w:rPr>
              <w:t xml:space="preserve"> designated locations, if applicable, for</w:t>
            </w:r>
            <w:r w:rsidRPr="009658F3">
              <w:rPr>
                <w:rFonts w:cstheme="minorHAnsi"/>
                <w:color w:val="000000" w:themeColor="text1"/>
              </w:rPr>
              <w:t xml:space="preserve"> individuals to store personal items (e.g.</w:t>
            </w:r>
            <w:r>
              <w:rPr>
                <w:rFonts w:cstheme="minorHAnsi"/>
                <w:color w:val="000000" w:themeColor="text1"/>
              </w:rPr>
              <w:t xml:space="preserve">, </w:t>
            </w:r>
            <w:r w:rsidRPr="009658F3">
              <w:rPr>
                <w:rFonts w:cstheme="minorHAnsi"/>
                <w:color w:val="000000" w:themeColor="text1"/>
              </w:rPr>
              <w:t xml:space="preserve">lab coats) separately from others.  </w:t>
            </w:r>
          </w:p>
        </w:tc>
        <w:tc>
          <w:tcPr>
            <w:tcW w:w="1350" w:type="dxa"/>
          </w:tcPr>
          <w:p w:rsidR="00FE5F46" w:rsidRDefault="00FE5F46" w:rsidP="002B6F09">
            <w:pPr>
              <w:pStyle w:val="ListParagraph"/>
            </w:pPr>
          </w:p>
        </w:tc>
        <w:tc>
          <w:tcPr>
            <w:tcW w:w="720" w:type="dxa"/>
          </w:tcPr>
          <w:p w:rsidR="00FE5F46" w:rsidRDefault="00FE5F46" w:rsidP="002B6F09">
            <w:pPr>
              <w:pStyle w:val="ListParagraph"/>
            </w:pPr>
          </w:p>
        </w:tc>
        <w:tc>
          <w:tcPr>
            <w:tcW w:w="3960" w:type="dxa"/>
          </w:tcPr>
          <w:p w:rsidR="00FE5F46" w:rsidRDefault="00FE5F46" w:rsidP="002B6F09">
            <w:pPr>
              <w:pStyle w:val="ListParagraph"/>
            </w:pPr>
          </w:p>
        </w:tc>
      </w:tr>
      <w:tr w:rsidR="00FE5F46" w:rsidTr="002B6F09">
        <w:tc>
          <w:tcPr>
            <w:tcW w:w="10885" w:type="dxa"/>
            <w:gridSpan w:val="4"/>
            <w:shd w:val="clear" w:color="auto" w:fill="8EAADB" w:themeFill="accent5" w:themeFillTint="99"/>
          </w:tcPr>
          <w:p w:rsidR="00FE5F46" w:rsidRDefault="00FE5F46" w:rsidP="002B6F09">
            <w:pPr>
              <w:jc w:val="center"/>
            </w:pPr>
            <w:r w:rsidRPr="00817928">
              <w:rPr>
                <w:rFonts w:cstheme="minorHAnsi"/>
                <w:b/>
                <w:bCs/>
                <w:sz w:val="24"/>
                <w:szCs w:val="24"/>
              </w:rPr>
              <w:t xml:space="preserve">Safety Supplies </w:t>
            </w:r>
            <w:r>
              <w:rPr>
                <w:rFonts w:cstheme="minorHAnsi"/>
                <w:b/>
                <w:bCs/>
                <w:sz w:val="24"/>
                <w:szCs w:val="24"/>
              </w:rPr>
              <w:t>and Emergency Equipment</w:t>
            </w:r>
          </w:p>
        </w:tc>
      </w:tr>
      <w:tr w:rsidR="00FE5F46" w:rsidTr="002B6F09">
        <w:tc>
          <w:tcPr>
            <w:tcW w:w="4855" w:type="dxa"/>
          </w:tcPr>
          <w:p w:rsidR="00FE5F46" w:rsidRPr="009658F3" w:rsidRDefault="00FE5F46" w:rsidP="00FE5F46">
            <w:pPr>
              <w:rPr>
                <w:rFonts w:cstheme="minorHAnsi"/>
                <w:color w:val="000000"/>
              </w:rPr>
            </w:pPr>
            <w:r>
              <w:rPr>
                <w:rFonts w:cstheme="minorHAnsi"/>
                <w:color w:val="000000"/>
              </w:rPr>
              <w:t>Re-familiarize yourself with the locations of emergency eyewashes, overhead showers and spill response kits.</w:t>
            </w:r>
          </w:p>
        </w:tc>
        <w:tc>
          <w:tcPr>
            <w:tcW w:w="1350" w:type="dxa"/>
          </w:tcPr>
          <w:p w:rsidR="00FE5F46" w:rsidRDefault="00FE5F46" w:rsidP="002B6F09">
            <w:pPr>
              <w:pStyle w:val="ListParagraph"/>
            </w:pPr>
          </w:p>
        </w:tc>
        <w:tc>
          <w:tcPr>
            <w:tcW w:w="720" w:type="dxa"/>
          </w:tcPr>
          <w:p w:rsidR="00FE5F46" w:rsidRDefault="00FE5F46" w:rsidP="002B6F09">
            <w:pPr>
              <w:pStyle w:val="ListParagraph"/>
            </w:pPr>
          </w:p>
        </w:tc>
        <w:tc>
          <w:tcPr>
            <w:tcW w:w="3960" w:type="dxa"/>
          </w:tcPr>
          <w:p w:rsidR="00FE5F46" w:rsidRDefault="00FE5F46" w:rsidP="002B6F09">
            <w:pPr>
              <w:pStyle w:val="ListParagraph"/>
            </w:pPr>
          </w:p>
        </w:tc>
      </w:tr>
      <w:tr w:rsidR="00AF1FEB" w:rsidTr="002B6F09">
        <w:tc>
          <w:tcPr>
            <w:tcW w:w="4855" w:type="dxa"/>
          </w:tcPr>
          <w:p w:rsidR="00AF1FEB" w:rsidRPr="009658F3" w:rsidRDefault="00AF1FEB" w:rsidP="00AF1FEB">
            <w:pPr>
              <w:rPr>
                <w:rFonts w:cstheme="minorHAnsi"/>
                <w:color w:val="000000"/>
              </w:rPr>
            </w:pPr>
            <w:r>
              <w:rPr>
                <w:rFonts w:cstheme="minorHAnsi"/>
                <w:color w:val="000000"/>
              </w:rPr>
              <w:t>Flush eyewash stations to verify proper operation.</w:t>
            </w:r>
          </w:p>
        </w:tc>
        <w:tc>
          <w:tcPr>
            <w:tcW w:w="1350" w:type="dxa"/>
          </w:tcPr>
          <w:p w:rsidR="00AF1FEB" w:rsidRDefault="00AF1FEB" w:rsidP="00AF1FEB">
            <w:pPr>
              <w:pStyle w:val="ListParagraph"/>
            </w:pPr>
          </w:p>
        </w:tc>
        <w:tc>
          <w:tcPr>
            <w:tcW w:w="720" w:type="dxa"/>
          </w:tcPr>
          <w:p w:rsidR="00AF1FEB" w:rsidRDefault="00AF1FEB" w:rsidP="00AF1FEB">
            <w:pPr>
              <w:pStyle w:val="ListParagraph"/>
            </w:pPr>
          </w:p>
        </w:tc>
        <w:tc>
          <w:tcPr>
            <w:tcW w:w="3960" w:type="dxa"/>
          </w:tcPr>
          <w:p w:rsidR="00AF1FEB" w:rsidRDefault="00AF1FEB" w:rsidP="00AF1FEB">
            <w:pPr>
              <w:pStyle w:val="ListParagraph"/>
            </w:pPr>
          </w:p>
        </w:tc>
      </w:tr>
      <w:tr w:rsidR="00AF1FEB" w:rsidTr="002B6F09">
        <w:tc>
          <w:tcPr>
            <w:tcW w:w="4855" w:type="dxa"/>
          </w:tcPr>
          <w:p w:rsidR="00AF1FEB" w:rsidRPr="009658F3" w:rsidRDefault="00AF1FEB" w:rsidP="00F90B17">
            <w:pPr>
              <w:rPr>
                <w:rFonts w:cstheme="minorHAnsi"/>
                <w:color w:val="000000"/>
              </w:rPr>
            </w:pPr>
            <w:r>
              <w:rPr>
                <w:rFonts w:cstheme="minorHAnsi"/>
                <w:color w:val="000000"/>
              </w:rPr>
              <w:t>Flush laboratory sinks</w:t>
            </w:r>
            <w:r w:rsidR="00DB5D58">
              <w:rPr>
                <w:rFonts w:cstheme="minorHAnsi"/>
                <w:color w:val="000000"/>
              </w:rPr>
              <w:t xml:space="preserve"> and drains</w:t>
            </w:r>
            <w:r>
              <w:rPr>
                <w:rFonts w:cstheme="minorHAnsi"/>
                <w:color w:val="000000"/>
              </w:rPr>
              <w:t>, including cup sinks, which have been unused for extended periods.</w:t>
            </w:r>
          </w:p>
        </w:tc>
        <w:tc>
          <w:tcPr>
            <w:tcW w:w="1350" w:type="dxa"/>
          </w:tcPr>
          <w:p w:rsidR="00AF1FEB" w:rsidRDefault="00AF1FEB" w:rsidP="00AF1FEB">
            <w:pPr>
              <w:pStyle w:val="ListParagraph"/>
            </w:pPr>
          </w:p>
        </w:tc>
        <w:tc>
          <w:tcPr>
            <w:tcW w:w="720" w:type="dxa"/>
          </w:tcPr>
          <w:p w:rsidR="00AF1FEB" w:rsidRDefault="00AF1FEB" w:rsidP="00AF1FEB">
            <w:pPr>
              <w:pStyle w:val="ListParagraph"/>
            </w:pPr>
          </w:p>
        </w:tc>
        <w:tc>
          <w:tcPr>
            <w:tcW w:w="3960" w:type="dxa"/>
          </w:tcPr>
          <w:p w:rsidR="00AF1FEB" w:rsidRDefault="00AF1FEB" w:rsidP="00AF1FEB">
            <w:pPr>
              <w:pStyle w:val="ListParagraph"/>
            </w:pPr>
          </w:p>
        </w:tc>
      </w:tr>
      <w:tr w:rsidR="00AF1FEB" w:rsidTr="002B6F09">
        <w:tc>
          <w:tcPr>
            <w:tcW w:w="4855" w:type="dxa"/>
          </w:tcPr>
          <w:p w:rsidR="00AF1FEB" w:rsidRPr="00AF1FEB" w:rsidRDefault="00AF1FEB" w:rsidP="00AF1FEB">
            <w:pPr>
              <w:rPr>
                <w:rFonts w:eastAsia="Calibri" w:cstheme="minorHAnsi"/>
              </w:rPr>
            </w:pPr>
            <w:r w:rsidRPr="009658F3">
              <w:rPr>
                <w:rFonts w:eastAsia="Calibri" w:cstheme="minorHAnsi"/>
              </w:rPr>
              <w:t>Confirm chemical fume hoods and biosafety cabinets are operating normally</w:t>
            </w:r>
            <w:r>
              <w:rPr>
                <w:rFonts w:eastAsia="Calibri" w:cstheme="minorHAnsi"/>
              </w:rPr>
              <w:t xml:space="preserve"> prior to resuming work</w:t>
            </w:r>
            <w:r w:rsidRPr="009658F3">
              <w:rPr>
                <w:rFonts w:eastAsia="Calibri" w:cstheme="minorHAnsi"/>
              </w:rPr>
              <w:t>.  Notify EH&amp;S if not working properly.</w:t>
            </w:r>
          </w:p>
        </w:tc>
        <w:tc>
          <w:tcPr>
            <w:tcW w:w="1350" w:type="dxa"/>
          </w:tcPr>
          <w:p w:rsidR="00AF1FEB" w:rsidRDefault="00AF1FEB" w:rsidP="00AF1FEB">
            <w:pPr>
              <w:pStyle w:val="ListParagraph"/>
            </w:pPr>
          </w:p>
        </w:tc>
        <w:tc>
          <w:tcPr>
            <w:tcW w:w="720" w:type="dxa"/>
          </w:tcPr>
          <w:p w:rsidR="00AF1FEB" w:rsidRDefault="00AF1FEB" w:rsidP="00AF1FEB">
            <w:pPr>
              <w:pStyle w:val="ListParagraph"/>
            </w:pPr>
          </w:p>
        </w:tc>
        <w:tc>
          <w:tcPr>
            <w:tcW w:w="3960" w:type="dxa"/>
          </w:tcPr>
          <w:p w:rsidR="00AF1FEB" w:rsidRDefault="00AF1FEB" w:rsidP="00AF1FEB">
            <w:pPr>
              <w:pStyle w:val="ListParagraph"/>
            </w:pPr>
          </w:p>
        </w:tc>
      </w:tr>
      <w:tr w:rsidR="00AF1FEB" w:rsidTr="002B6F09">
        <w:tc>
          <w:tcPr>
            <w:tcW w:w="10885" w:type="dxa"/>
            <w:gridSpan w:val="4"/>
            <w:shd w:val="clear" w:color="auto" w:fill="8EAADB" w:themeFill="accent5" w:themeFillTint="99"/>
          </w:tcPr>
          <w:p w:rsidR="00AF1FEB" w:rsidRPr="00817928" w:rsidRDefault="00AF1FEB" w:rsidP="00AF1FEB">
            <w:pPr>
              <w:jc w:val="center"/>
              <w:rPr>
                <w:b/>
                <w:bCs/>
                <w:sz w:val="24"/>
                <w:szCs w:val="24"/>
              </w:rPr>
            </w:pPr>
            <w:r w:rsidRPr="7569A6B4">
              <w:rPr>
                <w:b/>
                <w:bCs/>
                <w:sz w:val="24"/>
                <w:szCs w:val="24"/>
              </w:rPr>
              <w:t>Communications and Training</w:t>
            </w:r>
          </w:p>
        </w:tc>
      </w:tr>
      <w:tr w:rsidR="00AF1FEB" w:rsidTr="002B6F09">
        <w:trPr>
          <w:trHeight w:val="290"/>
        </w:trPr>
        <w:tc>
          <w:tcPr>
            <w:tcW w:w="4855" w:type="dxa"/>
            <w:tcBorders>
              <w:bottom w:val="single" w:sz="4" w:space="0" w:color="auto"/>
            </w:tcBorders>
          </w:tcPr>
          <w:p w:rsidR="00AF1FEB" w:rsidRDefault="00AF1FEB" w:rsidP="00C53D2C">
            <w:r>
              <w:t xml:space="preserve">Complete </w:t>
            </w:r>
            <w:hyperlink r:id="rId8" w:history="1">
              <w:r w:rsidR="00C53D2C" w:rsidRPr="00C53D2C">
                <w:rPr>
                  <w:rStyle w:val="Hyperlink"/>
                  <w:i/>
                  <w:iCs/>
                </w:rPr>
                <w:t>COVID 19 Training: Being Safe at Columbia</w:t>
              </w:r>
            </w:hyperlink>
            <w:r>
              <w:t xml:space="preserve"> training (course #TC5550 in Rascal).</w:t>
            </w:r>
          </w:p>
        </w:tc>
        <w:tc>
          <w:tcPr>
            <w:tcW w:w="1350" w:type="dxa"/>
            <w:tcBorders>
              <w:bottom w:val="single" w:sz="4" w:space="0" w:color="auto"/>
            </w:tcBorders>
          </w:tcPr>
          <w:p w:rsidR="00AF1FEB" w:rsidRDefault="00AF1FEB" w:rsidP="00AF1FEB">
            <w:pPr>
              <w:pStyle w:val="ListParagraph"/>
            </w:pPr>
          </w:p>
        </w:tc>
        <w:tc>
          <w:tcPr>
            <w:tcW w:w="720" w:type="dxa"/>
            <w:tcBorders>
              <w:bottom w:val="single" w:sz="4" w:space="0" w:color="auto"/>
            </w:tcBorders>
          </w:tcPr>
          <w:p w:rsidR="00AF1FEB" w:rsidRDefault="00AF1FEB" w:rsidP="00AF1FEB">
            <w:pPr>
              <w:pStyle w:val="ListParagraph"/>
            </w:pPr>
          </w:p>
        </w:tc>
        <w:tc>
          <w:tcPr>
            <w:tcW w:w="3960" w:type="dxa"/>
            <w:tcBorders>
              <w:bottom w:val="single" w:sz="4" w:space="0" w:color="auto"/>
            </w:tcBorders>
          </w:tcPr>
          <w:p w:rsidR="00AF1FEB" w:rsidRDefault="00AF1FEB" w:rsidP="00AF1FEB">
            <w:pPr>
              <w:pStyle w:val="ListParagraph"/>
            </w:pPr>
          </w:p>
        </w:tc>
      </w:tr>
      <w:tr w:rsidR="00AF1FEB" w:rsidTr="00B92F31">
        <w:trPr>
          <w:trHeight w:val="917"/>
        </w:trPr>
        <w:tc>
          <w:tcPr>
            <w:tcW w:w="4855" w:type="dxa"/>
          </w:tcPr>
          <w:p w:rsidR="00AF1FEB" w:rsidRPr="0C084B28" w:rsidRDefault="00AF1FEB" w:rsidP="00AF1FEB">
            <w:pPr>
              <w:rPr>
                <w:rFonts w:eastAsia="Calibri"/>
              </w:rPr>
            </w:pPr>
            <w:r>
              <w:rPr>
                <w:rFonts w:eastAsia="Calibri" w:cstheme="minorHAnsi"/>
              </w:rPr>
              <w:t>C</w:t>
            </w:r>
            <w:r w:rsidRPr="009658F3">
              <w:rPr>
                <w:rFonts w:eastAsia="Calibri" w:cstheme="minorHAnsi"/>
              </w:rPr>
              <w:t xml:space="preserve">omplete any expired, or soon to expire, </w:t>
            </w:r>
            <w:r>
              <w:rPr>
                <w:rFonts w:eastAsia="Calibri" w:cstheme="minorHAnsi"/>
              </w:rPr>
              <w:t xml:space="preserve">general </w:t>
            </w:r>
            <w:r w:rsidRPr="009658F3">
              <w:rPr>
                <w:rFonts w:eastAsia="Calibri" w:cstheme="minorHAnsi"/>
              </w:rPr>
              <w:t xml:space="preserve">training courses: </w:t>
            </w:r>
            <w:hyperlink r:id="rId9" w:history="1">
              <w:r w:rsidRPr="00B27C7E">
                <w:rPr>
                  <w:rStyle w:val="Hyperlink"/>
                  <w:rFonts w:eastAsia="Calibri" w:cstheme="minorHAnsi"/>
                </w:rPr>
                <w:t>https://www.rascal.columbia.edu/tc/trainingStatus</w:t>
              </w:r>
            </w:hyperlink>
          </w:p>
        </w:tc>
        <w:tc>
          <w:tcPr>
            <w:tcW w:w="1350" w:type="dxa"/>
          </w:tcPr>
          <w:p w:rsidR="00AF1FEB" w:rsidRDefault="00AF1FEB" w:rsidP="00AF1FEB">
            <w:pPr>
              <w:pStyle w:val="ListParagraph"/>
            </w:pPr>
          </w:p>
        </w:tc>
        <w:tc>
          <w:tcPr>
            <w:tcW w:w="720" w:type="dxa"/>
          </w:tcPr>
          <w:p w:rsidR="00AF1FEB" w:rsidRDefault="00AF1FEB" w:rsidP="00AF1FEB">
            <w:pPr>
              <w:pStyle w:val="ListParagraph"/>
            </w:pPr>
          </w:p>
        </w:tc>
        <w:tc>
          <w:tcPr>
            <w:tcW w:w="3960" w:type="dxa"/>
          </w:tcPr>
          <w:p w:rsidR="00AF1FEB" w:rsidRDefault="00AF1FEB" w:rsidP="00AF1FEB">
            <w:pPr>
              <w:pStyle w:val="ListParagraph"/>
            </w:pPr>
          </w:p>
        </w:tc>
      </w:tr>
      <w:tr w:rsidR="00267C1B" w:rsidTr="00786535">
        <w:trPr>
          <w:trHeight w:val="1532"/>
        </w:trPr>
        <w:tc>
          <w:tcPr>
            <w:tcW w:w="10885" w:type="dxa"/>
            <w:gridSpan w:val="4"/>
            <w:shd w:val="clear" w:color="auto" w:fill="FFD966" w:themeFill="accent4" w:themeFillTint="99"/>
          </w:tcPr>
          <w:p w:rsidR="00267C1B" w:rsidRPr="00472203" w:rsidRDefault="00267C1B" w:rsidP="00DB35A3">
            <w:pPr>
              <w:jc w:val="center"/>
              <w:rPr>
                <w:b/>
                <w:sz w:val="24"/>
              </w:rPr>
            </w:pPr>
            <w:r w:rsidRPr="00472203">
              <w:rPr>
                <w:b/>
                <w:sz w:val="24"/>
              </w:rPr>
              <w:t>Equipment Use</w:t>
            </w:r>
          </w:p>
          <w:p w:rsidR="00267C1B" w:rsidRDefault="00267C1B" w:rsidP="00786535">
            <w:pPr>
              <w:pStyle w:val="ListParagraph"/>
              <w:ind w:left="0"/>
              <w:jc w:val="center"/>
            </w:pPr>
            <w:r>
              <w:t>Significant care must be taken when restarting all laboratory equipment. Restart all equipment only when there is adequate time to monitor performance. Follow manufacturers’ guidance for the safe reactivation of all equipment. Power up all electrical equipment slowly, one at a time, to reduce the likelihood of overloading power circuits. Verify that equipment is free of frayed or damaged cords before returning to service.</w:t>
            </w:r>
          </w:p>
        </w:tc>
      </w:tr>
      <w:tr w:rsidR="00786535" w:rsidTr="00786535">
        <w:trPr>
          <w:trHeight w:val="1532"/>
        </w:trPr>
        <w:tc>
          <w:tcPr>
            <w:tcW w:w="10885" w:type="dxa"/>
            <w:gridSpan w:val="4"/>
            <w:tcBorders>
              <w:bottom w:val="single" w:sz="4" w:space="0" w:color="auto"/>
            </w:tcBorders>
            <w:shd w:val="clear" w:color="auto" w:fill="A8D08D" w:themeFill="accent6" w:themeFillTint="99"/>
          </w:tcPr>
          <w:p w:rsidR="00786535" w:rsidRPr="00786535" w:rsidRDefault="00786535" w:rsidP="00472203">
            <w:pPr>
              <w:jc w:val="center"/>
              <w:rPr>
                <w:b/>
                <w:sz w:val="24"/>
              </w:rPr>
            </w:pPr>
            <w:r w:rsidRPr="00786535">
              <w:rPr>
                <w:b/>
                <w:sz w:val="24"/>
              </w:rPr>
              <w:t>Cleaning and Hygiene</w:t>
            </w:r>
          </w:p>
          <w:p w:rsidR="00786535" w:rsidRDefault="00786535" w:rsidP="00786535">
            <w:pPr>
              <w:jc w:val="center"/>
            </w:pPr>
            <w:r>
              <w:t>Clean</w:t>
            </w:r>
            <w:r w:rsidRPr="00786535">
              <w:t xml:space="preserve"> workstations </w:t>
            </w:r>
            <w:r>
              <w:t xml:space="preserve">and common, shared surfaces </w:t>
            </w:r>
            <w:r w:rsidRPr="00786535">
              <w:t xml:space="preserve">at the beginning and end of each workday. </w:t>
            </w:r>
          </w:p>
          <w:p w:rsidR="00786535" w:rsidRDefault="00786535" w:rsidP="00786535">
            <w:pPr>
              <w:jc w:val="center"/>
            </w:pPr>
            <w:r w:rsidRPr="00786535">
              <w:t xml:space="preserve">1. Use EPA List-N disinfectants, sourced through University purchasing. </w:t>
            </w:r>
          </w:p>
          <w:p w:rsidR="00786535" w:rsidRDefault="00786535" w:rsidP="00786535">
            <w:pPr>
              <w:jc w:val="center"/>
            </w:pPr>
            <w:r w:rsidRPr="00786535">
              <w:t>2. Wipe down work surfaces, including laboratory benches, computer mice and keyboards, telephone handsets, doorknobs, light switches and other equipment.</w:t>
            </w:r>
          </w:p>
          <w:p w:rsidR="006D2E18" w:rsidRPr="00786535" w:rsidRDefault="006D2E18" w:rsidP="00786535">
            <w:pPr>
              <w:jc w:val="center"/>
              <w:rPr>
                <w:sz w:val="24"/>
              </w:rPr>
            </w:pPr>
          </w:p>
        </w:tc>
      </w:tr>
    </w:tbl>
    <w:p w:rsidR="00FE5F46" w:rsidRDefault="00FE5F46" w:rsidP="00376C3C">
      <w:bookmarkStart w:id="1" w:name="_GoBack"/>
      <w:bookmarkEnd w:id="0"/>
      <w:bookmarkEnd w:id="1"/>
    </w:p>
    <w:sectPr w:rsidR="00FE5F46" w:rsidSect="00267C1B">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31" w:rsidRDefault="00B92F31" w:rsidP="00B92F31">
      <w:pPr>
        <w:spacing w:after="0" w:line="240" w:lineRule="auto"/>
      </w:pPr>
      <w:r>
        <w:separator/>
      </w:r>
    </w:p>
  </w:endnote>
  <w:endnote w:type="continuationSeparator" w:id="0">
    <w:p w:rsidR="00B92F31" w:rsidRDefault="00B92F31" w:rsidP="00B9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31" w:rsidRDefault="00B92F31" w:rsidP="00B92F31">
      <w:pPr>
        <w:spacing w:after="0" w:line="240" w:lineRule="auto"/>
      </w:pPr>
      <w:r>
        <w:separator/>
      </w:r>
    </w:p>
  </w:footnote>
  <w:footnote w:type="continuationSeparator" w:id="0">
    <w:p w:rsidR="00B92F31" w:rsidRDefault="00B92F31" w:rsidP="00B92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46"/>
    <w:rsid w:val="00267C1B"/>
    <w:rsid w:val="00376C3C"/>
    <w:rsid w:val="00472203"/>
    <w:rsid w:val="006D2E18"/>
    <w:rsid w:val="00786535"/>
    <w:rsid w:val="00AF1FEB"/>
    <w:rsid w:val="00B92F31"/>
    <w:rsid w:val="00C53D2C"/>
    <w:rsid w:val="00CB4B72"/>
    <w:rsid w:val="00D043A2"/>
    <w:rsid w:val="00DB35A3"/>
    <w:rsid w:val="00DB5D58"/>
    <w:rsid w:val="00ED2922"/>
    <w:rsid w:val="00F90B17"/>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5B5D"/>
  <w15:chartTrackingRefBased/>
  <w15:docId w15:val="{01790F3D-5091-4800-ABA1-999CC020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F46"/>
    <w:rPr>
      <w:color w:val="0563C1" w:themeColor="hyperlink"/>
      <w:u w:val="single"/>
    </w:rPr>
  </w:style>
  <w:style w:type="paragraph" w:styleId="ListParagraph">
    <w:name w:val="List Paragraph"/>
    <w:basedOn w:val="Normal"/>
    <w:uiPriority w:val="34"/>
    <w:qFormat/>
    <w:rsid w:val="00FE5F46"/>
    <w:pPr>
      <w:ind w:left="720"/>
      <w:contextualSpacing/>
    </w:pPr>
  </w:style>
  <w:style w:type="table" w:styleId="TableGrid">
    <w:name w:val="Table Grid"/>
    <w:basedOn w:val="TableNormal"/>
    <w:uiPriority w:val="59"/>
    <w:rsid w:val="00FE5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2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1"/>
  </w:style>
  <w:style w:type="paragraph" w:styleId="Footer">
    <w:name w:val="footer"/>
    <w:basedOn w:val="Normal"/>
    <w:link w:val="FooterChar"/>
    <w:uiPriority w:val="99"/>
    <w:unhideWhenUsed/>
    <w:rsid w:val="00B92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scal.columbia.edu/tc/course/TC5550/courseOverview" TargetMode="External"/><Relationship Id="rId3" Type="http://schemas.openxmlformats.org/officeDocument/2006/relationships/webSettings" Target="webSettings.xml"/><Relationship Id="rId7" Type="http://schemas.openxmlformats.org/officeDocument/2006/relationships/hyperlink" Target="https://research.columbia.edu/sites/default/files/content/EHS/COVID-19/RampUpChecklis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columbia.edu/content/health-guida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ascal.columbia.edu/tc/training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CUMC IT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Pitoscia, Christopher M.</dc:creator>
  <cp:keywords/>
  <dc:description/>
  <cp:lastModifiedBy>Sacheli, Jillian D.</cp:lastModifiedBy>
  <cp:revision>2</cp:revision>
  <dcterms:created xsi:type="dcterms:W3CDTF">2021-08-12T12:26:00Z</dcterms:created>
  <dcterms:modified xsi:type="dcterms:W3CDTF">2021-08-12T12:26:00Z</dcterms:modified>
</cp:coreProperties>
</file>